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EB" w:rsidRDefault="002E19EB" w:rsidP="002E1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С 01.09.2024 вступил в силу приказ Ростехнадзора от 22.01.2024 № 16, которым внесены ряд изменений в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Ростехнадзора от 26.11.2020 № 461  (далее — ФНП ПС)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6C7">
        <w:rPr>
          <w:rFonts w:ascii="Times New Roman" w:hAnsi="Times New Roman" w:cs="Times New Roman"/>
          <w:sz w:val="28"/>
          <w:szCs w:val="28"/>
        </w:rPr>
        <w:t xml:space="preserve"> в том числе касающиеся распространения их требований, так в соответствии с подпунктом б) пункта 2 ФНП ПС, их требования распространяются на обеспечение промышленной безопасности опасных производственных объектов, на которых применяются мостовые краны-штабелеры, в свою очередь, подпунктом х) пункта 3 установлено, что требования ФНП ПС не распространяются на обеспечение безопасности объектов, на которых используются мостовые краны-штабелеры.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С целью исключения ошибочного применения требований ФНП ПС при отнесении (идентификации) объектов, на которых используются мостовые краны-штабелеры, к опасным производственным объектам, прошу разъяснить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6C7">
        <w:rPr>
          <w:rFonts w:ascii="Times New Roman" w:hAnsi="Times New Roman" w:cs="Times New Roman"/>
          <w:sz w:val="28"/>
          <w:szCs w:val="28"/>
        </w:rPr>
        <w:t xml:space="preserve"> на какие мостовые краны-штабелеры, применяемые на опасных производственных объектах, распространяются требования ФНП ПС.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Область распространения и нераспространения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E26C7">
        <w:rPr>
          <w:rFonts w:ascii="Times New Roman" w:hAnsi="Times New Roman" w:cs="Times New Roman"/>
          <w:sz w:val="28"/>
          <w:szCs w:val="28"/>
        </w:rPr>
        <w:t>ФНП ПС), в отношении типов подъемных сооружений, в действующей и предыдущей редакциях, определялись пунктами 2, 3 и 3, 4 (соответственно).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Пункт 3(а) ФНП ПС (приказ Ростехнадзора от 26.11.2020 № 461) определяет, что ФНП ПС не распространяется на обеспечение безопасности объектов, на которых используются следующие ПС: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 xml:space="preserve">а) «применяемые в интересах обороны и безопасности государства, гражданской и территориальной обороны или относящиеся к вооружению и военной технике, кроме ПС общепромышленного назначения, перечисленных в пункте 3 настоящих ФНП и предназначенных только для транспортировки обычных грузов, и кроме ПС, применяемых на опасных производственных объектах, эксплуатируемых организациями Государственной корпорации по атомной энергии «Росатом»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6C7">
        <w:rPr>
          <w:rFonts w:ascii="Times New Roman" w:hAnsi="Times New Roman" w:cs="Times New Roman"/>
          <w:sz w:val="28"/>
          <w:szCs w:val="28"/>
        </w:rPr>
        <w:t xml:space="preserve"> Госкорпорация «Росатом»), при разработке, изготовлении, испытании, эксплуатации и утилизации ядерного оружия и ядерных установок военного назначения».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В свою очередь, в ранее действующей редакции ФНП ПС (приказ Ростехнадзора от 12.11.2013 от 533), особенности, в отношении подобных ПС, определялись пунктом 4 (а, б), а именно: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 xml:space="preserve">а) «применяемые в интересах обороны и безопасности государства, гражданской и территориальной обороны или относящиеся к вооружению и военной технике, кроме ПС общепромышленного назначения, </w:t>
      </w:r>
      <w:r w:rsidRPr="008E26C7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перечисленных в </w:t>
      </w:r>
      <w:hyperlink r:id="rId5">
        <w:r w:rsidRPr="008E26C7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E26C7">
        <w:rPr>
          <w:rFonts w:ascii="Times New Roman" w:hAnsi="Times New Roman" w:cs="Times New Roman"/>
          <w:sz w:val="28"/>
          <w:szCs w:val="28"/>
        </w:rPr>
        <w:t xml:space="preserve"> настоящих ФНП и предназначенных только для транспортировки обычных грузов»;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б) применяемые на объектах использования атомной энергии, а также оказывающие влияние на ядерную и радиационную безопасность.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На сегодняшний день, при реализации требований действующих нормативных и правовых актов, в том числе требований предъявляемых к ПС, применяемых на объектах использования атомной энергии, пункт 3 (а)  ФНП ПС в действующей редакции, не реализуем в полной мере. Предполагаем, что в пункте 3 (а)  ФНП ПС  ошибочно указана ссылка на пункт 3 (из предыдущей редакции), вместо которой должна быть сделана ссылка на пункт 2.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Просим подтвердить изложенную позицию или дать разъяснения по применению пункта 3 (а)  ФНП ПС в действующей редакции.</w:t>
      </w:r>
    </w:p>
    <w:p w:rsidR="002E19EB" w:rsidRDefault="002E19EB" w:rsidP="002E1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EB" w:rsidRPr="008E26C7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C7">
        <w:rPr>
          <w:rFonts w:ascii="Times New Roman" w:hAnsi="Times New Roman" w:cs="Times New Roman"/>
          <w:sz w:val="28"/>
          <w:szCs w:val="28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 утверждены приказом Ростехнадзора от 26.11.2020 № 461 (далее по тексту – ФНП). В 2024 году в ФНП приказом Ростехнадзора от 22.01.2024 №16 были внесены изменения, которые вступили в силу с 01.09.2024. Согласно действующей редакции ФНП их требования распространяются на обеспечение промышленной безопасности опасных производственных объектов, на которых применяются подъемные сооружения и оборудование, используемое совместно с подъемными сооружениями, указанные в пункте 2 ФНП. Вместе с тем, требования ФНП не распространяются на обеспечение безопасности объектов, на которых используются подъемные сооружения, указанные в пункте 3 ФНП, в том числе на грузовые строительные подъемники, мостовые краны-штабелеры и краны-трубоукладчики. Кроме того, требования ФНП не распространяются на подъемные сооружения, применяемые в интересах обороны 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6C7">
        <w:rPr>
          <w:rFonts w:ascii="Times New Roman" w:hAnsi="Times New Roman" w:cs="Times New Roman"/>
          <w:sz w:val="28"/>
          <w:szCs w:val="28"/>
        </w:rPr>
        <w:t>государства, гражданской и территориальной обороны или относящиеся к вооружению и военной технике (кроме подъемных сооружений общепромышленного назначения), специально сконструированные для применения на вводимых в эксплуатацию, эксплуатируемых и выводимых из эксплуатации объектах использования атомной энергии при обращении с ядерными материалами, ядерным топливом, радиоактивными веществами, радиоактивными отходами, радиационными источниками и их перемещении, а также при перемещении грузов в помещениях (зонах), в которых располагаются системы и элементы, важные для безопасности объектов использования атомной энергии.</w:t>
      </w:r>
    </w:p>
    <w:p w:rsidR="002E19EB" w:rsidRPr="000C34A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9EB" w:rsidRDefault="002E19EB" w:rsidP="002E1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2E19EB" w:rsidRPr="00F3056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561">
        <w:rPr>
          <w:rFonts w:ascii="Times New Roman" w:hAnsi="Times New Roman" w:cs="Times New Roman"/>
          <w:sz w:val="28"/>
          <w:szCs w:val="28"/>
        </w:rPr>
        <w:t>В соответствии с пунктом 7 Правил организации и осуществления производственного контроля за соблюдением требований промышленной безопасности, утв.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0561">
        <w:rPr>
          <w:rFonts w:ascii="Times New Roman" w:hAnsi="Times New Roman" w:cs="Times New Roman"/>
          <w:sz w:val="28"/>
          <w:szCs w:val="28"/>
        </w:rPr>
        <w:t xml:space="preserve"> Правительства РФ от 18.12.2020 </w:t>
      </w:r>
      <w:r>
        <w:rPr>
          <w:rFonts w:ascii="Times New Roman" w:hAnsi="Times New Roman" w:cs="Times New Roman"/>
          <w:sz w:val="28"/>
          <w:szCs w:val="28"/>
        </w:rPr>
        <w:t xml:space="preserve">№ 2168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30561">
        <w:rPr>
          <w:rFonts w:ascii="Times New Roman" w:hAnsi="Times New Roman" w:cs="Times New Roman"/>
          <w:sz w:val="28"/>
          <w:szCs w:val="28"/>
        </w:rPr>
        <w:t>Об организации и осуществлении производственного контроля за соблюдением требований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0561">
        <w:rPr>
          <w:rFonts w:ascii="Times New Roman" w:hAnsi="Times New Roman" w:cs="Times New Roman"/>
          <w:sz w:val="28"/>
          <w:szCs w:val="28"/>
        </w:rPr>
        <w:t xml:space="preserve"> для определения на кого возлагаются функции лица, ответственного за осуществление производственного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561">
        <w:rPr>
          <w:rFonts w:ascii="Times New Roman" w:hAnsi="Times New Roman" w:cs="Times New Roman"/>
          <w:sz w:val="28"/>
          <w:szCs w:val="28"/>
        </w:rPr>
        <w:t xml:space="preserve"> принимается в расчет численность работников, осуществляющих профессиональную деятельность, связанную с проектированием, строительством, эксплуатацией, реконструкцией, капитальным ремонтом, техническим перевооружением, консервацией и ликвидацией 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30561">
        <w:rPr>
          <w:rFonts w:ascii="Times New Roman" w:hAnsi="Times New Roman" w:cs="Times New Roman"/>
          <w:sz w:val="28"/>
          <w:szCs w:val="28"/>
        </w:rPr>
        <w:t>работники эксплуатирующей организации).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Если численность работников, осуществляющих профессиональную деятельность, связанную с проектированием, строительством, эксплуатацией, реконструкцией, капитальным ремонтом, техническим перевооружением, консервацией и ликвидацией 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67751">
        <w:rPr>
          <w:rFonts w:ascii="Times New Roman" w:hAnsi="Times New Roman" w:cs="Times New Roman"/>
          <w:sz w:val="28"/>
          <w:szCs w:val="28"/>
        </w:rPr>
        <w:t>работники эксплуатирующей организации), составляет от 150 до 500 человек, то функции лица, ответственного за осуществление производственного контроля, возлагаются на специально назначенного работника.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В нашей организации общая численность персонала порядка 1300 человек, численность работников структурного подразделения, эксплуатирующего опасный производственный объект менее 200 человек. В декларации промышленной безопасности и проектной документации это информация отражена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Однако в практике имело место быть, что инспектор при проверке выписал предписание на основании отсутствия службы производственного контроля ссылаясь на общую численность предприятия.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Должна ли организация создавать службу производственного контроля при численности работников занятых эксплуатацией ОПО менее 500 человек?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В обязательном ли порядке такое подразделение должно называться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7751">
        <w:rPr>
          <w:rFonts w:ascii="Times New Roman" w:hAnsi="Times New Roman" w:cs="Times New Roman"/>
          <w:sz w:val="28"/>
          <w:szCs w:val="28"/>
        </w:rPr>
        <w:t>служба производственного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7751">
        <w:rPr>
          <w:rFonts w:ascii="Times New Roman" w:hAnsi="Times New Roman" w:cs="Times New Roman"/>
          <w:sz w:val="28"/>
          <w:szCs w:val="28"/>
        </w:rPr>
        <w:t xml:space="preserve"> или допустимо в Положении о Производственном контроле и в Положении о СУПБ установить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7751">
        <w:rPr>
          <w:rFonts w:ascii="Times New Roman" w:hAnsi="Times New Roman" w:cs="Times New Roman"/>
          <w:sz w:val="28"/>
          <w:szCs w:val="28"/>
        </w:rPr>
        <w:t xml:space="preserve"> что функции службы производственного контроля возложены на Управление по охране труда, промышленной и пожарной безопасности, ГО и ЧС с описанием прав и обязанностей работников, осуществляющих производственный контроль, и лица, ответственного за осуществление производственного контроля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6775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7751">
        <w:rPr>
          <w:rFonts w:ascii="Times New Roman" w:hAnsi="Times New Roman" w:cs="Times New Roman"/>
          <w:sz w:val="28"/>
          <w:szCs w:val="28"/>
        </w:rPr>
        <w:t xml:space="preserve"> Правительства РФ от 18.12.2020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7751">
        <w:rPr>
          <w:rFonts w:ascii="Times New Roman" w:hAnsi="Times New Roman" w:cs="Times New Roman"/>
          <w:sz w:val="28"/>
          <w:szCs w:val="28"/>
        </w:rPr>
        <w:t xml:space="preserve"> 2168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7751">
        <w:rPr>
          <w:rFonts w:ascii="Times New Roman" w:hAnsi="Times New Roman" w:cs="Times New Roman"/>
          <w:sz w:val="28"/>
          <w:szCs w:val="28"/>
        </w:rPr>
        <w:t>Об организации и осуществлении производственного контроля за соблюдением требований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7751">
        <w:rPr>
          <w:rFonts w:ascii="Times New Roman" w:hAnsi="Times New Roman" w:cs="Times New Roman"/>
          <w:sz w:val="28"/>
          <w:szCs w:val="28"/>
        </w:rPr>
        <w:t>.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</w:p>
    <w:p w:rsidR="002E19EB" w:rsidRPr="00762366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366">
        <w:rPr>
          <w:rFonts w:ascii="Times New Roman" w:hAnsi="Times New Roman" w:cs="Times New Roman"/>
          <w:sz w:val="28"/>
          <w:szCs w:val="28"/>
        </w:rPr>
        <w:t>Требования о создании службы производственного контроля указаны в пункте 7 Правил организации и осуществления производственного контроля за соблюдением требований промышленной безопасности, утв.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2366">
        <w:rPr>
          <w:rFonts w:ascii="Times New Roman" w:hAnsi="Times New Roman" w:cs="Times New Roman"/>
          <w:sz w:val="28"/>
          <w:szCs w:val="28"/>
        </w:rPr>
        <w:t xml:space="preserve"> Правительства РФ от 18.12.2020 </w:t>
      </w:r>
      <w:r>
        <w:rPr>
          <w:rFonts w:ascii="Times New Roman" w:hAnsi="Times New Roman" w:cs="Times New Roman"/>
          <w:sz w:val="28"/>
          <w:szCs w:val="28"/>
        </w:rPr>
        <w:t>№ 2168 «</w:t>
      </w:r>
      <w:r w:rsidRPr="00762366">
        <w:rPr>
          <w:rFonts w:ascii="Times New Roman" w:hAnsi="Times New Roman" w:cs="Times New Roman"/>
          <w:sz w:val="28"/>
          <w:szCs w:val="28"/>
        </w:rPr>
        <w:t>Об организации и осуществлении производственного контроля за соблюдением требо</w:t>
      </w:r>
      <w:r>
        <w:rPr>
          <w:rFonts w:ascii="Times New Roman" w:hAnsi="Times New Roman" w:cs="Times New Roman"/>
          <w:sz w:val="28"/>
          <w:szCs w:val="28"/>
        </w:rPr>
        <w:t>ваний промышленной безопасности»</w:t>
      </w:r>
      <w:r w:rsidRPr="00762366">
        <w:rPr>
          <w:rFonts w:ascii="Times New Roman" w:hAnsi="Times New Roman" w:cs="Times New Roman"/>
          <w:sz w:val="28"/>
          <w:szCs w:val="28"/>
        </w:rPr>
        <w:t>, а именно: функции лица, ответственного за осуществление производственного контроля, возлагаются  на руководителя службы производственного контроля, если численность работников организации, эксплуатирующей опасный производственный объект, составляет более 500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2366">
        <w:rPr>
          <w:rFonts w:ascii="Times New Roman" w:hAnsi="Times New Roman" w:cs="Times New Roman"/>
          <w:sz w:val="28"/>
          <w:szCs w:val="28"/>
        </w:rPr>
        <w:t xml:space="preserve"> при этом конкретизация  численности работников ОПО отсутствует, следовательно служба производственного контроля создается при  численности в организации свыше 500 человек.</w:t>
      </w:r>
    </w:p>
    <w:p w:rsidR="002E19EB" w:rsidRPr="00762366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366">
        <w:rPr>
          <w:rFonts w:ascii="Times New Roman" w:hAnsi="Times New Roman" w:cs="Times New Roman"/>
          <w:sz w:val="28"/>
          <w:szCs w:val="28"/>
        </w:rPr>
        <w:t>Положением предусмотрено создание службы производственного контроля, требования к организации, контролю и реализации предусматриваются внутренними документами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9EB" w:rsidRPr="001E218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2E19EB" w:rsidRPr="00762366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366">
        <w:rPr>
          <w:rFonts w:ascii="Times New Roman" w:hAnsi="Times New Roman" w:cs="Times New Roman"/>
          <w:sz w:val="28"/>
          <w:szCs w:val="28"/>
        </w:rPr>
        <w:t xml:space="preserve">В соответствии со статьей 90.1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366">
        <w:rPr>
          <w:rFonts w:ascii="Times New Roman" w:hAnsi="Times New Roman" w:cs="Times New Roman"/>
          <w:sz w:val="28"/>
          <w:szCs w:val="28"/>
        </w:rPr>
        <w:t xml:space="preserve"> 248-ФЗ (ред. от 29.12.2025)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2366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2366">
        <w:rPr>
          <w:rFonts w:ascii="Times New Roman" w:hAnsi="Times New Roman" w:cs="Times New Roman"/>
          <w:sz w:val="28"/>
          <w:szCs w:val="28"/>
        </w:rPr>
        <w:t>,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 xml:space="preserve">2) срок устранения выявленного нарушения обязательных требований с указанием конкретной даты; 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 xml:space="preserve">3) перечень рекомендованных мероприятий по устранению выявленного нарушения обязательных требований; </w:t>
      </w:r>
    </w:p>
    <w:p w:rsidR="002E19EB" w:rsidRPr="0046775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</w:t>
      </w:r>
      <w:r>
        <w:rPr>
          <w:rFonts w:ascii="Times New Roman" w:hAnsi="Times New Roman" w:cs="Times New Roman"/>
          <w:sz w:val="28"/>
          <w:szCs w:val="28"/>
        </w:rPr>
        <w:t>рушения обязательных требований.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751">
        <w:rPr>
          <w:rFonts w:ascii="Times New Roman" w:hAnsi="Times New Roman" w:cs="Times New Roman"/>
          <w:sz w:val="28"/>
          <w:szCs w:val="28"/>
        </w:rPr>
        <w:t>Допустимо ли в разделе Нормативный правовой акт, его структурные единицы, устанавливающие обязательные требования, которые нарушены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7751">
        <w:rPr>
          <w:rFonts w:ascii="Times New Roman" w:hAnsi="Times New Roman" w:cs="Times New Roman"/>
          <w:sz w:val="28"/>
          <w:szCs w:val="28"/>
        </w:rPr>
        <w:t xml:space="preserve"> делать ссылку только на статью Федерального закона (116-ФЗ, ГК РФ) </w:t>
      </w:r>
      <w:r w:rsidRPr="008D0F24">
        <w:rPr>
          <w:rFonts w:ascii="Times New Roman" w:hAnsi="Times New Roman" w:cs="Times New Roman"/>
          <w:sz w:val="28"/>
          <w:szCs w:val="28"/>
        </w:rPr>
        <w:t>без указания пунктов подзаконных нормативно-технических документов?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E19EB" w:rsidRPr="00762366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366">
        <w:rPr>
          <w:rFonts w:ascii="Times New Roman" w:hAnsi="Times New Roman" w:cs="Times New Roman"/>
          <w:sz w:val="28"/>
          <w:szCs w:val="28"/>
        </w:rPr>
        <w:t>В зависимости от конкретного нарушения и статьи Федерального закона, на который дана ссылка. Если формулировка статьи содержит требование, то вполне достаточно.</w:t>
      </w:r>
    </w:p>
    <w:p w:rsidR="002E19EB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</w:p>
    <w:p w:rsidR="002E19EB" w:rsidRPr="00F30561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561">
        <w:rPr>
          <w:rFonts w:ascii="Times New Roman" w:hAnsi="Times New Roman" w:cs="Times New Roman"/>
          <w:sz w:val="28"/>
          <w:szCs w:val="28"/>
        </w:rPr>
        <w:t xml:space="preserve">Допустимо ли в перечне рекомендованных мероприятий по устранению выявленного нарушения обязательных требований указывать только «Привести в соответствии с требованиями правил»,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30561">
        <w:rPr>
          <w:rFonts w:ascii="Times New Roman" w:hAnsi="Times New Roman" w:cs="Times New Roman"/>
          <w:sz w:val="28"/>
          <w:szCs w:val="28"/>
        </w:rPr>
        <w:t xml:space="preserve">опустимо ли </w:t>
      </w:r>
      <w:r>
        <w:rPr>
          <w:rFonts w:ascii="Times New Roman" w:hAnsi="Times New Roman" w:cs="Times New Roman"/>
          <w:sz w:val="28"/>
          <w:szCs w:val="28"/>
        </w:rPr>
        <w:t>в переч</w:t>
      </w:r>
      <w:r w:rsidRPr="00F305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0561">
        <w:rPr>
          <w:rFonts w:ascii="Times New Roman" w:hAnsi="Times New Roman" w:cs="Times New Roman"/>
          <w:sz w:val="28"/>
          <w:szCs w:val="28"/>
        </w:rPr>
        <w:t xml:space="preserve">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561">
        <w:rPr>
          <w:rFonts w:ascii="Times New Roman" w:hAnsi="Times New Roman" w:cs="Times New Roman"/>
          <w:sz w:val="28"/>
          <w:szCs w:val="28"/>
        </w:rPr>
        <w:t xml:space="preserve"> указывать только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0561">
        <w:rPr>
          <w:rFonts w:ascii="Times New Roman" w:hAnsi="Times New Roman" w:cs="Times New Roman"/>
          <w:sz w:val="28"/>
          <w:szCs w:val="28"/>
        </w:rPr>
        <w:t>Документы, по</w:t>
      </w:r>
      <w:r>
        <w:rPr>
          <w:rFonts w:ascii="Times New Roman" w:hAnsi="Times New Roman" w:cs="Times New Roman"/>
          <w:sz w:val="28"/>
          <w:szCs w:val="28"/>
        </w:rPr>
        <w:t>дтверждающие выполнение пункта»?</w:t>
      </w:r>
    </w:p>
    <w:p w:rsidR="002E19EB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E19EB" w:rsidRPr="00762366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366">
        <w:rPr>
          <w:rFonts w:ascii="Times New Roman" w:hAnsi="Times New Roman" w:cs="Times New Roman"/>
          <w:sz w:val="28"/>
          <w:szCs w:val="28"/>
        </w:rPr>
        <w:t>Вопрос общий и требует конкретики. Т.к. организация вправе самостоятельно решать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2366">
        <w:rPr>
          <w:rFonts w:ascii="Times New Roman" w:hAnsi="Times New Roman" w:cs="Times New Roman"/>
          <w:sz w:val="28"/>
          <w:szCs w:val="28"/>
        </w:rPr>
        <w:t xml:space="preserve"> какой способ устранения нарушения выбрать, исходя из различных факторов (материальных, временных и трудозатрат), перечень мероприятий по устранению выявленных нарушений, а также перечень сведений, в качестве подтверждения устранения нарушений носят рекомендательный характер. </w:t>
      </w:r>
    </w:p>
    <w:p w:rsidR="002E19EB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19EB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0CA4">
        <w:rPr>
          <w:rFonts w:ascii="Times New Roman" w:hAnsi="Times New Roman" w:cs="Times New Roman"/>
          <w:sz w:val="28"/>
          <w:szCs w:val="28"/>
        </w:rPr>
        <w:t>опрос по применению Федеральных норм и правил в области промышленной безопасности «Правила безопасности химически опасных производственных объектов», утверждённых приказом Федеральной службы по экологическому, технологическому и атомному надзору от 07.12.2020 № 500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20CA4">
        <w:rPr>
          <w:rFonts w:ascii="Times New Roman" w:hAnsi="Times New Roman" w:cs="Times New Roman"/>
          <w:sz w:val="28"/>
          <w:szCs w:val="28"/>
        </w:rPr>
        <w:t>ФНП ХОПО): ФНП ХОПО «устанавливают требования, направленные на обеспечение промышленной безопасности, предупреждение аварий, случаев производственного травматизма на химически опасных производственных объектах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20CA4">
        <w:rPr>
          <w:rFonts w:ascii="Times New Roman" w:hAnsi="Times New Roman" w:cs="Times New Roman"/>
          <w:sz w:val="28"/>
          <w:szCs w:val="28"/>
        </w:rPr>
        <w:t xml:space="preserve">ХОПО), на которых в соответствии с подпунктами "б", "д", "е", "ж" пункта 1 приложения 1 к Федеральному закону от 21 июля 1997 г. № 116-ФЗ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0CA4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0CA4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20CA4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0CA4">
        <w:rPr>
          <w:rFonts w:ascii="Times New Roman" w:hAnsi="Times New Roman" w:cs="Times New Roman"/>
          <w:sz w:val="28"/>
          <w:szCs w:val="28"/>
        </w:rPr>
        <w:t xml:space="preserve"> 116-ФЗ) получаются, используются, перерабатываются, образуются, хранятся, транспортируются, уничтожаются опасные вещества…...», а разделом XII «Специальные требования к отдельным химически опасным производственным объектам.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щелочей» (пункты 228-269 ФНП ХОПО), устанавливают требования к объектам, применяющим концентрированные кислоты и щелочи.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В действовавших до 04.09.2014 «Правил безопасности при использовании неорганических жидких кислот и щелочей» (ПБ 09-596-03), устанавливались требования к объектам, использующим неорганические кислоты и щелочи с конкретизацией  пороговых  значений применения неорганических жидких кислот и щелочей.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 xml:space="preserve">На сегодняшний день, нормативные и правовые акты, указанные пороговые значения не определяют, при этом требования ФНП ХОПО </w:t>
      </w:r>
      <w:r w:rsidRPr="00F20CA4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распространяются на объекты на которых в производстве применяются растворы электролитов вне зависимости от концентрации кислот и щелочей (к примеру 0,15%; 3 % и т. п.). 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1: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Попадают ли под действие ФНП ХОПО ванны с растворами кислот и щелочей с концентрацией в растворах до 15% и 20% соответственно?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b/>
          <w:sz w:val="28"/>
          <w:szCs w:val="28"/>
        </w:rPr>
        <w:t>Ответ:</w:t>
      </w:r>
      <w:r w:rsidRPr="00F20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Согласно Федеральному закону от 21.07.1997 № 116-ФЗ «О промышленной безопасности опасных производственных объектов» (далее – Закон № 116-ФЗ) технические устройства, применяемые на опасном производственном объекте - машины, технологическое оборудование, системы машин и (или) оборудования, агрегаты, аппаратура, механизмы, применяемые при эксплуатации опасного производственного объекта.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В соответствии с Приложением 1 Закона № 116-ФЗ к категории опасных производственных объектов относятся объекты, на которых получаются, используются, перерабатываются, образуются, хранятся, транспортируются, уничтожаются в указанных в приложении 2 к настоящему Федеральному закону количествах опасные вещества.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Таким образом, оборудование,  применяемое в гальваническом производстве (гальванические ванны</w:t>
      </w:r>
      <w:r>
        <w:rPr>
          <w:rFonts w:ascii="Times New Roman" w:hAnsi="Times New Roman" w:cs="Times New Roman"/>
          <w:sz w:val="28"/>
          <w:szCs w:val="28"/>
        </w:rPr>
        <w:t xml:space="preserve"> с растворами кислот и щелочей)</w:t>
      </w:r>
      <w:r w:rsidRPr="00F20CA4">
        <w:rPr>
          <w:rFonts w:ascii="Times New Roman" w:hAnsi="Times New Roman" w:cs="Times New Roman"/>
          <w:sz w:val="28"/>
          <w:szCs w:val="28"/>
        </w:rPr>
        <w:t>, при условии их соответствия Приложению 1 Закона № 116-ФЗ, относятся к техническим устройствам, применяемым на опасном производственном объекте, на такое оборудование распространяются требования ФНП ХОПО.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 xml:space="preserve">Также необходимо учитывать все оборудование гальванического производства (технические устройства), эксплуатация которых дает признак опасности, обусловленный перечисленным в приложении 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0CA4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</w:t>
      </w:r>
      <w:r>
        <w:rPr>
          <w:rFonts w:ascii="Times New Roman" w:hAnsi="Times New Roman" w:cs="Times New Roman"/>
          <w:sz w:val="28"/>
          <w:szCs w:val="28"/>
        </w:rPr>
        <w:t>нных объектов».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b/>
          <w:sz w:val="28"/>
          <w:szCs w:val="28"/>
        </w:rPr>
        <w:t>Вопрос 2:</w:t>
      </w:r>
      <w:r w:rsidRPr="00F20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Какие минимальные пороговые значения состава раствора кислот и щелочей учитывать?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b/>
          <w:sz w:val="28"/>
          <w:szCs w:val="28"/>
        </w:rPr>
        <w:t>Ответ:</w:t>
      </w:r>
      <w:r w:rsidRPr="00F20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 xml:space="preserve">Конкретные пороговые значения концентрации кислот и щелочей в растворах, при которых они считаются опасными веществами,  Федеральными нормами и правилами в области промышленной безопасности «Правила безопасности химически опасных производственных объектов» не установлены. 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 xml:space="preserve">Раздел XII ФНП ХОПО устанавливает требования к  химически опасным производственным объектам, связанным с получением, использованием, переработкой, образованием, хранением, транспортированием, уничтожением неорганических жидких кислот и щелочей» без указания  от их концентрации. 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0CA4">
        <w:rPr>
          <w:rFonts w:ascii="Times New Roman" w:hAnsi="Times New Roman" w:cs="Times New Roman"/>
          <w:b/>
          <w:sz w:val="28"/>
          <w:szCs w:val="28"/>
        </w:rPr>
        <w:lastRenderedPageBreak/>
        <w:t>Вопрос 3:</w:t>
      </w:r>
      <w:r w:rsidRPr="00F20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Каким документом руководствоваться при отнесении состава применяемого раствора к виду опасного вещества в зависимости от концентрации опасного вещества в растворе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20CA4">
        <w:rPr>
          <w:rFonts w:ascii="Times New Roman" w:hAnsi="Times New Roman" w:cs="Times New Roman"/>
          <w:sz w:val="28"/>
          <w:szCs w:val="28"/>
        </w:rPr>
        <w:t>токсичное, высокотоксичное и представляющее опасность для окружающей среды?</w:t>
      </w:r>
    </w:p>
    <w:p w:rsidR="002E19EB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b/>
          <w:sz w:val="28"/>
          <w:szCs w:val="28"/>
        </w:rPr>
        <w:t>Ответ:</w:t>
      </w:r>
      <w:r w:rsidRPr="00F20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В соответствии с Приложением 1 к Закону № 116-ФЗ при классификации токсичных веществ, высокотоксичных веществ и веществ, представляющие опасность для окружающей среды учитываются их способность при воздействии на живые организмы (при введении в желудок, при нанесении на кожу, при определенной концентрация в воздухе) приводить к их гибели.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Вместе с тем, различные вещества в зависимости от физико-химических свойств могут идентифицироваться и учитываться как относящиеся к нескольким видам опасных веществ.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При идентификации опасных веществ могут использоваться: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- данные из проектной документации, паспорта безопасности химических веществ и карточки перевозимых опасных грузов;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- результаты исследований и испытаний;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CA4">
        <w:rPr>
          <w:rFonts w:ascii="Times New Roman" w:hAnsi="Times New Roman" w:cs="Times New Roman"/>
          <w:sz w:val="28"/>
          <w:szCs w:val="28"/>
        </w:rPr>
        <w:t>- другие информационные источники, официально изданные и находящиеся в открытом доступе.</w:t>
      </w:r>
    </w:p>
    <w:p w:rsidR="002E19EB" w:rsidRPr="00F20CA4" w:rsidRDefault="002E19EB" w:rsidP="002E19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9EB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2E19EB" w:rsidRPr="00F20CA4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CA4">
        <w:rPr>
          <w:rFonts w:ascii="Times New Roman" w:hAnsi="Times New Roman" w:cs="Times New Roman"/>
          <w:bCs/>
          <w:sz w:val="28"/>
          <w:szCs w:val="28"/>
        </w:rPr>
        <w:t>Почему проблема смещения горной массы после взрыва настолько важна для экономики и безопасности?</w:t>
      </w:r>
    </w:p>
    <w:p w:rsidR="002E19EB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E19EB" w:rsidRPr="00F20CA4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CA4">
        <w:rPr>
          <w:rFonts w:ascii="Times New Roman" w:hAnsi="Times New Roman" w:cs="Times New Roman"/>
          <w:bCs/>
          <w:sz w:val="28"/>
          <w:szCs w:val="28"/>
        </w:rPr>
        <w:t>Экономически — смещение границ руды ведет к потерям полезного ископаемого и разубоживанию. По безопасности — чем хуже прогнозируемость результата, тем больше повторных операций (дополнительные работы, перемещения техники и людей), а также выше вероятность нестабильных зон навала. Инструменты измерения смещения сокращают «работу вслепую».</w:t>
      </w:r>
    </w:p>
    <w:p w:rsidR="002E19EB" w:rsidRPr="00D70BF8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9EB" w:rsidRPr="007A6469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2E19EB" w:rsidRPr="00F20CA4" w:rsidRDefault="002E19EB" w:rsidP="002E1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F20CA4">
        <w:rPr>
          <w:rFonts w:ascii="Times New Roman" w:hAnsi="Times New Roman" w:cs="Times New Roman"/>
          <w:bCs/>
          <w:sz w:val="28"/>
          <w:szCs w:val="28"/>
        </w:rPr>
        <w:t>Не приведет ли внедрение автоматики к тому, что персонал расслабится («потеряет бдительность»), полностью полагаясь на «умную» систему?</w:t>
      </w:r>
    </w:p>
    <w:p w:rsidR="002E19EB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E19EB" w:rsidRPr="00F20CA4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CA4">
        <w:rPr>
          <w:rFonts w:ascii="Times New Roman" w:hAnsi="Times New Roman" w:cs="Times New Roman"/>
          <w:bCs/>
          <w:sz w:val="28"/>
          <w:szCs w:val="28"/>
        </w:rPr>
        <w:t>Цифровая система не заменяет человека, а служит «вторым пилотом». Она исключает ошибку по невнимательности, но регламенты и личная ответственность персонала остаются в силе. Обучение включает обязательный раздел о том, что система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20CA4">
        <w:rPr>
          <w:rFonts w:ascii="Times New Roman" w:hAnsi="Times New Roman" w:cs="Times New Roman"/>
          <w:bCs/>
          <w:sz w:val="28"/>
          <w:szCs w:val="28"/>
        </w:rPr>
        <w:t>это вспомогательный инструмент контроля.</w:t>
      </w:r>
    </w:p>
    <w:p w:rsidR="002E19EB" w:rsidRPr="00753FC3" w:rsidRDefault="002E19EB" w:rsidP="002E1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19EB" w:rsidRDefault="002E19EB"/>
    <w:sectPr w:rsidR="002E19EB" w:rsidSect="009D4EF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467425"/>
      <w:docPartObj>
        <w:docPartGallery w:val="Page Numbers (Top of Page)"/>
        <w:docPartUnique/>
      </w:docPartObj>
    </w:sdtPr>
    <w:sdtEndPr/>
    <w:sdtContent>
      <w:p w:rsidR="009F0823" w:rsidRDefault="002E1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F0823" w:rsidRDefault="002E19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EB"/>
    <w:rsid w:val="002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1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cons.star.ru/cgi/online.cgi?req=doc&amp;base=LAW&amp;n=198460&amp;dst=100022&amp;field=134&amp;date=09.02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Ермоченкова Ольга Юрьевна</dc:creator>
  <cp:lastModifiedBy>Ермоченкова Ольга Юрьевна</cp:lastModifiedBy>
  <cp:revision>1</cp:revision>
  <dcterms:created xsi:type="dcterms:W3CDTF">2026-02-20T09:38:00Z</dcterms:created>
  <dcterms:modified xsi:type="dcterms:W3CDTF">2026-02-20T09:40:00Z</dcterms:modified>
</cp:coreProperties>
</file>